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veat" w:cs="Caveat" w:eastAsia="Caveat" w:hAnsi="Caveat"/>
          <w:b w:val="1"/>
          <w:sz w:val="36"/>
          <w:szCs w:val="36"/>
        </w:rPr>
      </w:pPr>
      <w:r w:rsidDel="00000000" w:rsidR="00000000" w:rsidRPr="00000000">
        <w:rPr>
          <w:rFonts w:ascii="Caveat" w:cs="Caveat" w:eastAsia="Caveat" w:hAnsi="Caveat"/>
          <w:b w:val="1"/>
          <w:color w:val="3d464d"/>
          <w:sz w:val="36"/>
          <w:szCs w:val="36"/>
          <w:shd w:fill="f7f9fa" w:val="clear"/>
          <w:rtl w:val="0"/>
        </w:rPr>
        <w:t xml:space="preserve">Consider what is unusual about the content of each bottle.Using the image on page 4, discuss what you can see in the jars. Collect words and phrases to describe the different settings in each bottle.</w:t>
      </w:r>
      <w:r w:rsidDel="00000000" w:rsidR="00000000" w:rsidRPr="00000000">
        <w:rPr>
          <w:rtl w:val="0"/>
        </w:rPr>
      </w:r>
    </w:p>
    <w:p w:rsidR="00000000" w:rsidDel="00000000" w:rsidP="00000000" w:rsidRDefault="00000000" w:rsidRPr="00000000" w14:paraId="00000002">
      <w:pPr>
        <w:rPr>
          <w:rFonts w:ascii="Caveat" w:cs="Caveat" w:eastAsia="Caveat" w:hAnsi="Caveat"/>
          <w:b w:val="1"/>
          <w:color w:val="3d464d"/>
          <w:sz w:val="36"/>
          <w:szCs w:val="36"/>
          <w:shd w:fill="f7f9fa" w:val="clear"/>
        </w:rPr>
      </w:pPr>
      <w:r w:rsidDel="00000000" w:rsidR="00000000" w:rsidRPr="00000000">
        <w:rPr>
          <w:rFonts w:ascii="Caveat" w:cs="Caveat" w:eastAsia="Caveat" w:hAnsi="Caveat"/>
          <w:b w:val="1"/>
          <w:color w:val="3d464d"/>
          <w:sz w:val="36"/>
          <w:szCs w:val="36"/>
          <w:shd w:fill="f7f9fa" w:val="clear"/>
          <w:rtl w:val="0"/>
        </w:rPr>
        <w:tab/>
        <w:tab/>
        <w:tab/>
        <w:tab/>
        <w:tab/>
        <w:tab/>
        <w:tab/>
        <w:tab/>
        <w:tab/>
        <w:tab/>
        <w:tab/>
      </w:r>
    </w:p>
    <w:tbl>
      <w:tblPr>
        <w:tblStyle w:val="Table1"/>
        <w:tblW w:w="1414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05"/>
        <w:gridCol w:w="5385"/>
        <w:gridCol w:w="4455"/>
        <w:tblGridChange w:id="0">
          <w:tblGrid>
            <w:gridCol w:w="4305"/>
            <w:gridCol w:w="5385"/>
            <w:gridCol w:w="4455"/>
          </w:tblGrid>
        </w:tblGridChange>
      </w:tblGrid>
      <w:tr>
        <w:trPr>
          <w:trHeight w:val="5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p w:rsidR="00000000" w:rsidDel="00000000" w:rsidP="00000000" w:rsidRDefault="00000000" w:rsidRPr="00000000" w14:paraId="00000004">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p w:rsidR="00000000" w:rsidDel="00000000" w:rsidP="00000000" w:rsidRDefault="00000000" w:rsidRPr="00000000" w14:paraId="00000005">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r>
      <w:tr>
        <w:trPr>
          <w:trHeight w:val="85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p w:rsidR="00000000" w:rsidDel="00000000" w:rsidP="00000000" w:rsidRDefault="00000000" w:rsidRPr="00000000" w14:paraId="00000009">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p w:rsidR="00000000" w:rsidDel="00000000" w:rsidP="00000000" w:rsidRDefault="00000000" w:rsidRPr="00000000" w14:paraId="0000000A">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after="0" w:before="0" w:line="240" w:lineRule="auto"/>
              <w:ind w:left="0" w:firstLine="0"/>
              <w:rPr>
                <w:rFonts w:ascii="Caveat" w:cs="Caveat" w:eastAsia="Caveat" w:hAnsi="Caveat"/>
                <w:b w:val="1"/>
                <w:color w:val="3d464d"/>
                <w:sz w:val="36"/>
                <w:szCs w:val="36"/>
                <w:shd w:fill="f7f9fa"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r>
      <w:tr>
        <w:trPr>
          <w:trHeight w:val="5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p w:rsidR="00000000" w:rsidDel="00000000" w:rsidP="00000000" w:rsidRDefault="00000000" w:rsidRPr="00000000" w14:paraId="0000000E">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p w:rsidR="00000000" w:rsidDel="00000000" w:rsidP="00000000" w:rsidRDefault="00000000" w:rsidRPr="00000000" w14:paraId="0000000F">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after="0" w:before="0" w:line="240" w:lineRule="auto"/>
              <w:ind w:left="0" w:firstLine="0"/>
              <w:rPr>
                <w:rFonts w:ascii="Caveat" w:cs="Caveat" w:eastAsia="Caveat" w:hAnsi="Caveat"/>
                <w:b w:val="1"/>
                <w:color w:val="3d464d"/>
                <w:sz w:val="36"/>
                <w:szCs w:val="36"/>
                <w:shd w:fill="f7f9fa"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r>
      <w:tr>
        <w:trPr>
          <w:trHeight w:val="5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p w:rsidR="00000000" w:rsidDel="00000000" w:rsidP="00000000" w:rsidRDefault="00000000" w:rsidRPr="00000000" w14:paraId="00000013">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p w:rsidR="00000000" w:rsidDel="00000000" w:rsidP="00000000" w:rsidRDefault="00000000" w:rsidRPr="00000000" w14:paraId="00000014">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after="0" w:before="0" w:line="240" w:lineRule="auto"/>
              <w:ind w:left="0" w:firstLine="0"/>
              <w:rPr>
                <w:rFonts w:ascii="Caveat" w:cs="Caveat" w:eastAsia="Caveat" w:hAnsi="Caveat"/>
                <w:b w:val="1"/>
                <w:color w:val="3d464d"/>
                <w:sz w:val="36"/>
                <w:szCs w:val="36"/>
                <w:shd w:fill="f7f9fa"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Caveat" w:cs="Caveat" w:eastAsia="Caveat" w:hAnsi="Caveat"/>
                <w:b w:val="1"/>
                <w:color w:val="3d464d"/>
                <w:sz w:val="36"/>
                <w:szCs w:val="36"/>
                <w:shd w:fill="f7f9fa" w:val="clear"/>
              </w:rPr>
            </w:pPr>
            <w:r w:rsidDel="00000000" w:rsidR="00000000" w:rsidRPr="00000000">
              <w:rPr>
                <w:rtl w:val="0"/>
              </w:rPr>
            </w:r>
          </w:p>
        </w:tc>
      </w:tr>
    </w:tbl>
    <w:p w:rsidR="00000000" w:rsidDel="00000000" w:rsidP="00000000" w:rsidRDefault="00000000" w:rsidRPr="00000000" w14:paraId="00000017">
      <w:pPr>
        <w:rPr>
          <w:rFonts w:ascii="Caveat" w:cs="Caveat" w:eastAsia="Caveat" w:hAnsi="Caveat"/>
          <w:b w:val="1"/>
          <w:color w:val="3d464d"/>
          <w:sz w:val="36"/>
          <w:szCs w:val="36"/>
          <w:shd w:fill="f7f9fa" w:val="clear"/>
        </w:rPr>
      </w:pPr>
      <w:r w:rsidDel="00000000" w:rsidR="00000000" w:rsidRPr="00000000">
        <w:rPr>
          <w:rFonts w:ascii="Caveat" w:cs="Caveat" w:eastAsia="Caveat" w:hAnsi="Caveat"/>
          <w:b w:val="1"/>
          <w:sz w:val="36"/>
          <w:szCs w:val="36"/>
        </w:rPr>
        <w:drawing>
          <wp:anchor allowOverlap="1" behindDoc="0" distB="114300" distT="114300" distL="114300" distR="114300" hidden="0" layoutInCell="1" locked="0" relativeHeight="0" simplePos="0">
            <wp:simplePos x="0" y="0"/>
            <wp:positionH relativeFrom="margin">
              <wp:align>center</wp:align>
            </wp:positionH>
            <wp:positionV relativeFrom="margin">
              <wp:align>center</wp:align>
            </wp:positionV>
            <wp:extent cx="3411325" cy="333993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411325" cy="3339938"/>
                    </a:xfrm>
                    <a:prstGeom prst="rect"/>
                    <a:ln/>
                  </pic:spPr>
                </pic:pic>
              </a:graphicData>
            </a:graphic>
          </wp:anchor>
        </w:drawing>
      </w:r>
      <w:r w:rsidDel="00000000" w:rsidR="00000000" w:rsidRPr="00000000">
        <w:rPr>
          <w:rtl w:val="0"/>
        </w:rPr>
      </w:r>
    </w:p>
    <w:sectPr>
      <w:headerReference r:id="rId7" w:type="default"/>
      <w:pgSz w:h="11906" w:w="16838"/>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veat">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8">
    <w:pPr>
      <w:jc w:val="center"/>
      <w:rPr>
        <w:rFonts w:ascii="Caveat" w:cs="Caveat" w:eastAsia="Caveat" w:hAnsi="Caveat"/>
        <w:b w:val="1"/>
        <w:sz w:val="48"/>
        <w:szCs w:val="48"/>
        <w:u w:val="single"/>
      </w:rPr>
    </w:pPr>
    <w:r w:rsidDel="00000000" w:rsidR="00000000" w:rsidRPr="00000000">
      <w:rPr>
        <w:rFonts w:ascii="Caveat" w:cs="Caveat" w:eastAsia="Caveat" w:hAnsi="Caveat"/>
        <w:b w:val="1"/>
        <w:sz w:val="48"/>
        <w:szCs w:val="48"/>
        <w:u w:val="single"/>
        <w:rtl w:val="0"/>
      </w:rPr>
      <w:t xml:space="preserve">The Alchemist</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